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6B" w:rsidRPr="008C476B" w:rsidRDefault="008C476B" w:rsidP="008C476B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Microsoft YaHei" w:hAnsi="Arial" w:cs="Mangal"/>
          <w:noProof/>
          <w:kern w:val="1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8255" b="571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76B">
        <w:rPr>
          <w:rFonts w:ascii="Arial" w:eastAsia="Microsoft YaHei" w:hAnsi="Arial" w:cs="Mangal"/>
          <w:b/>
          <w:bCs/>
          <w:color w:val="000000"/>
          <w:kern w:val="1"/>
          <w:sz w:val="32"/>
          <w:szCs w:val="32"/>
          <w:lang w:eastAsia="hi-IN" w:bidi="hi-IN"/>
        </w:rPr>
        <w:t>Groupes de maison</w:t>
      </w:r>
    </w:p>
    <w:p w:rsidR="008C476B" w:rsidRPr="008C476B" w:rsidRDefault="008C476B" w:rsidP="008C476B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</w:pPr>
      <w:r w:rsidRPr="008C476B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 xml:space="preserve">Semaine du mercredi </w:t>
      </w:r>
      <w:r w:rsidR="00A546F0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>14</w:t>
      </w:r>
      <w:r w:rsidRPr="008C476B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A546F0">
        <w:rPr>
          <w:rFonts w:ascii="Arial" w:eastAsia="Microsoft YaHei" w:hAnsi="Arial" w:cs="Mangal"/>
          <w:color w:val="000000"/>
          <w:kern w:val="1"/>
          <w:sz w:val="28"/>
          <w:szCs w:val="28"/>
          <w:lang w:eastAsia="hi-IN" w:bidi="hi-IN"/>
        </w:rPr>
        <w:t>février 2018</w:t>
      </w:r>
    </w:p>
    <w:p w:rsidR="008C476B" w:rsidRPr="008C476B" w:rsidRDefault="008C476B" w:rsidP="008C476B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8C476B" w:rsidRPr="008C476B" w:rsidRDefault="008C476B" w:rsidP="008C476B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8C476B" w:rsidRPr="008C476B" w:rsidRDefault="008C476B" w:rsidP="008C476B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 w:rsidRPr="008C476B"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 w:rsidRPr="008C476B"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 w:rsidR="00A546F0">
        <w:rPr>
          <w:rFonts w:ascii="Arial" w:eastAsia="Cambria" w:hAnsi="Arial" w:cs="Arial"/>
          <w:color w:val="993300"/>
          <w:sz w:val="36"/>
          <w:szCs w:val="36"/>
          <w:lang w:eastAsia="ar-SA"/>
        </w:rPr>
        <w:t>5</w:t>
      </w:r>
      <w:r w:rsidRPr="008C476B"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8C476B" w:rsidRP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8C476B" w:rsidRDefault="00A546F0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Savoir écouter sans tout croire</w:t>
      </w:r>
    </w:p>
    <w:p w:rsidR="008C476B" w:rsidRPr="007A2280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7A2280" w:rsidRDefault="007A2280" w:rsidP="007A2280">
      <w:pPr>
        <w:spacing w:before="240"/>
        <w:rPr>
          <w:rFonts w:ascii="Arial" w:hAnsi="Arial" w:cs="Arial"/>
          <w:sz w:val="24"/>
          <w:szCs w:val="24"/>
        </w:rPr>
      </w:pPr>
      <w:r w:rsidRPr="007A2280">
        <w:rPr>
          <w:rFonts w:ascii="Arial" w:hAnsi="Arial" w:cs="Arial"/>
          <w:sz w:val="24"/>
          <w:szCs w:val="24"/>
        </w:rPr>
        <w:t>Ep 4.15</w:t>
      </w:r>
      <w:proofErr w:type="gramStart"/>
      <w:r w:rsidRPr="007A2280">
        <w:rPr>
          <w:rFonts w:ascii="Arial" w:hAnsi="Arial" w:cs="Arial"/>
          <w:sz w:val="24"/>
          <w:szCs w:val="24"/>
        </w:rPr>
        <w:t>,15</w:t>
      </w:r>
      <w:proofErr w:type="gramEnd"/>
      <w:r w:rsidRPr="007A2280">
        <w:rPr>
          <w:rFonts w:ascii="Arial" w:hAnsi="Arial" w:cs="Arial"/>
          <w:sz w:val="24"/>
          <w:szCs w:val="24"/>
        </w:rPr>
        <w:t> ; Mt 10.16 ; 2Co 11.13 ; Ep 5.12 ; 1Th 5.21 ; 1Jn 4.1 ; Ph 1.9,10.</w:t>
      </w:r>
    </w:p>
    <w:p w:rsidR="007A2280" w:rsidRPr="007A2280" w:rsidRDefault="007A2280" w:rsidP="007A2280">
      <w:pPr>
        <w:spacing w:before="240"/>
        <w:rPr>
          <w:rFonts w:ascii="Arial" w:hAnsi="Arial" w:cs="Arial"/>
          <w:sz w:val="24"/>
          <w:szCs w:val="24"/>
        </w:rPr>
      </w:pPr>
    </w:p>
    <w:p w:rsidR="007A2280" w:rsidRPr="007A2280" w:rsidRDefault="007A2280" w:rsidP="007A2280">
      <w:pPr>
        <w:pStyle w:val="Paragraphedeliste"/>
        <w:numPr>
          <w:ilvl w:val="0"/>
          <w:numId w:val="3"/>
        </w:numPr>
        <w:spacing w:before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A2280">
        <w:rPr>
          <w:rFonts w:ascii="Arial" w:hAnsi="Arial" w:cs="Arial"/>
          <w:sz w:val="24"/>
          <w:szCs w:val="24"/>
        </w:rPr>
        <w:t>Connaissons-nous des fausses informations ayant touché un grand nombre de personnes ? Connaissons-nous des enseignements, des croyances, qui finalement sont faux, fausses ? Et en trouvons-nous dans la Bible ?</w:t>
      </w:r>
    </w:p>
    <w:p w:rsidR="007A2280" w:rsidRPr="007A2280" w:rsidRDefault="007A2280" w:rsidP="007A2280">
      <w:pPr>
        <w:pStyle w:val="Paragraphedeliste"/>
        <w:spacing w:before="240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Default="007A2280" w:rsidP="007A2280">
      <w:pPr>
        <w:pStyle w:val="Paragraphedeliste"/>
        <w:spacing w:before="240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Pr="007A2280" w:rsidRDefault="007A2280" w:rsidP="007A2280">
      <w:pPr>
        <w:pStyle w:val="Paragraphedeliste"/>
        <w:spacing w:before="240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Pr="007A2280" w:rsidRDefault="007A2280" w:rsidP="007A2280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A2280">
        <w:rPr>
          <w:rFonts w:ascii="Arial" w:hAnsi="Arial" w:cs="Arial"/>
          <w:sz w:val="24"/>
          <w:szCs w:val="24"/>
        </w:rPr>
        <w:t>Quelles sont mes réactions devant des fausses informations ou des faux enseignements ? Pour quelles raisons ?</w:t>
      </w:r>
    </w:p>
    <w:p w:rsid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  <w:bookmarkStart w:id="0" w:name="_GoBack"/>
      <w:bookmarkEnd w:id="0"/>
    </w:p>
    <w:p w:rsidR="007A2280" w:rsidRP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Pr="007A2280" w:rsidRDefault="007A2280" w:rsidP="007A2280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A2280">
        <w:rPr>
          <w:rFonts w:ascii="Arial" w:hAnsi="Arial" w:cs="Arial"/>
          <w:sz w:val="24"/>
          <w:szCs w:val="24"/>
        </w:rPr>
        <w:t>Quels sont les moyens à notre disposition pour évaluer les choses, les informations, les croyances ?</w:t>
      </w:r>
    </w:p>
    <w:p w:rsid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Pr="007A2280" w:rsidRDefault="007A2280" w:rsidP="007A2280">
      <w:pPr>
        <w:pStyle w:val="Paragraphedeliste"/>
        <w:ind w:left="714"/>
        <w:contextualSpacing w:val="0"/>
        <w:rPr>
          <w:rFonts w:ascii="Arial" w:hAnsi="Arial" w:cs="Arial"/>
          <w:color w:val="C00000"/>
          <w:sz w:val="24"/>
          <w:szCs w:val="24"/>
        </w:rPr>
      </w:pPr>
    </w:p>
    <w:p w:rsidR="007A2280" w:rsidRPr="007A2280" w:rsidRDefault="007A2280" w:rsidP="007A2280">
      <w:pPr>
        <w:pStyle w:val="Paragraphedeliste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7A2280">
        <w:rPr>
          <w:rFonts w:ascii="Arial" w:hAnsi="Arial" w:cs="Arial"/>
          <w:sz w:val="24"/>
          <w:szCs w:val="24"/>
        </w:rPr>
        <w:t>De quel ordre est ma responsabilité face à des fausses informations ou des faux enseignements ?</w:t>
      </w:r>
    </w:p>
    <w:p w:rsidR="008C476B" w:rsidRPr="008C476B" w:rsidRDefault="008C476B" w:rsidP="008C476B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</w:p>
    <w:p w:rsidR="004B75D2" w:rsidRDefault="004B75D2"/>
    <w:p w:rsidR="00150158" w:rsidRPr="008C476B" w:rsidRDefault="00150158" w:rsidP="00960C19"/>
    <w:p w:rsidR="008C476B" w:rsidRDefault="008C476B"/>
    <w:sectPr w:rsidR="008C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0EA"/>
    <w:multiLevelType w:val="hybridMultilevel"/>
    <w:tmpl w:val="D8DAD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C2"/>
    <w:multiLevelType w:val="hybridMultilevel"/>
    <w:tmpl w:val="D8DAD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50C8"/>
    <w:multiLevelType w:val="hybridMultilevel"/>
    <w:tmpl w:val="693A3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B"/>
    <w:rsid w:val="00150158"/>
    <w:rsid w:val="004B75D2"/>
    <w:rsid w:val="00536452"/>
    <w:rsid w:val="007A2280"/>
    <w:rsid w:val="008C476B"/>
    <w:rsid w:val="00960C19"/>
    <w:rsid w:val="00A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4</cp:revision>
  <cp:lastPrinted>2017-12-10T08:53:00Z</cp:lastPrinted>
  <dcterms:created xsi:type="dcterms:W3CDTF">2018-02-10T19:32:00Z</dcterms:created>
  <dcterms:modified xsi:type="dcterms:W3CDTF">2018-02-10T19:39:00Z</dcterms:modified>
</cp:coreProperties>
</file>